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455165" w:rsidRPr="00455165" w:rsidTr="0045516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jc w:val="center"/>
              <w:rPr>
                <w:rFonts w:ascii="Times New Roman" w:hAnsi="Times New Roman" w:cs="Times New Roman"/>
                <w:sz w:val="26"/>
                <w:szCs w:val="26"/>
              </w:rPr>
            </w:pPr>
            <w:bookmarkStart w:id="0" w:name="muc_1"/>
            <w:r w:rsidRPr="00455165">
              <w:rPr>
                <w:rFonts w:ascii="Times New Roman" w:hAnsi="Times New Roman" w:cs="Times New Roman"/>
                <w:b/>
                <w:bCs/>
                <w:sz w:val="26"/>
                <w:szCs w:val="26"/>
                <w:lang w:val="vi-VN"/>
              </w:rPr>
              <w:t>ỦY BAN NHÂN DÂN XÃ</w:t>
            </w:r>
            <w:r w:rsidRPr="00455165">
              <w:rPr>
                <w:rFonts w:ascii="Times New Roman" w:hAnsi="Times New Roman" w:cs="Times New Roman"/>
                <w:b/>
                <w:bCs/>
                <w:sz w:val="26"/>
                <w:szCs w:val="26"/>
                <w:lang w:val="vi-VN"/>
              </w:rPr>
              <w:br/>
            </w:r>
            <w:r w:rsidRPr="00455165">
              <w:rPr>
                <w:rFonts w:ascii="Times New Roman" w:hAnsi="Times New Roman" w:cs="Times New Roman"/>
                <w:b/>
                <w:bCs/>
                <w:sz w:val="26"/>
                <w:szCs w:val="26"/>
              </w:rPr>
              <w:t>PHƯỜNG NINH THẠNH</w:t>
            </w:r>
            <w:r w:rsidRPr="00455165">
              <w:rPr>
                <w:rFonts w:ascii="Times New Roman" w:hAnsi="Times New Roman" w:cs="Times New Roman"/>
                <w:b/>
                <w:bCs/>
                <w:sz w:val="26"/>
                <w:szCs w:val="26"/>
                <w:lang w:val="vi-VN"/>
              </w:rPr>
              <w:b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after="0"/>
              <w:jc w:val="center"/>
              <w:rPr>
                <w:rFonts w:ascii="Times New Roman" w:hAnsi="Times New Roman" w:cs="Times New Roman"/>
                <w:sz w:val="26"/>
                <w:szCs w:val="26"/>
              </w:rPr>
            </w:pPr>
            <w:r w:rsidRPr="00455165">
              <w:rPr>
                <w:rFonts w:ascii="Times New Roman" w:hAnsi="Times New Roman" w:cs="Times New Roman"/>
                <w:b/>
                <w:bCs/>
                <w:sz w:val="26"/>
                <w:szCs w:val="26"/>
                <w:lang w:val="vi-VN"/>
              </w:rPr>
              <w:t>CỘNG HÒA XÃ HỘI CHỦ NGHĨA VIỆT NAM</w:t>
            </w:r>
            <w:r w:rsidRPr="00455165">
              <w:rPr>
                <w:rFonts w:ascii="Times New Roman" w:hAnsi="Times New Roman" w:cs="Times New Roman"/>
                <w:b/>
                <w:bCs/>
                <w:sz w:val="26"/>
                <w:szCs w:val="26"/>
                <w:lang w:val="vi-VN"/>
              </w:rPr>
              <w:br/>
              <w:t xml:space="preserve">Độc lập - Tự do - Hạnh phúc </w:t>
            </w:r>
            <w:r w:rsidRPr="00455165">
              <w:rPr>
                <w:rFonts w:ascii="Times New Roman" w:hAnsi="Times New Roman" w:cs="Times New Roman"/>
                <w:b/>
                <w:bCs/>
                <w:sz w:val="26"/>
                <w:szCs w:val="26"/>
                <w:lang w:val="vi-VN"/>
              </w:rPr>
              <w:br/>
              <w:t>---------------</w:t>
            </w:r>
          </w:p>
        </w:tc>
      </w:tr>
      <w:tr w:rsidR="00455165" w:rsidRPr="00455165" w:rsidTr="0045516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after="0"/>
              <w:jc w:val="center"/>
              <w:rPr>
                <w:rFonts w:ascii="Times New Roman" w:hAnsi="Times New Roman" w:cs="Times New Roman"/>
                <w:sz w:val="26"/>
                <w:szCs w:val="26"/>
              </w:rPr>
            </w:pPr>
            <w:r w:rsidRPr="00455165">
              <w:rPr>
                <w:rFonts w:ascii="Times New Roman" w:hAnsi="Times New Roman" w:cs="Times New Roman"/>
                <w:sz w:val="26"/>
                <w:szCs w:val="26"/>
                <w:lang w:val="vi-VN"/>
              </w:rPr>
              <w:t> </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after="0"/>
              <w:jc w:val="right"/>
              <w:rPr>
                <w:rFonts w:ascii="Times New Roman" w:hAnsi="Times New Roman" w:cs="Times New Roman"/>
                <w:sz w:val="26"/>
                <w:szCs w:val="26"/>
              </w:rPr>
            </w:pPr>
            <w:r w:rsidRPr="00455165">
              <w:rPr>
                <w:rFonts w:ascii="Times New Roman" w:hAnsi="Times New Roman" w:cs="Times New Roman"/>
                <w:i/>
                <w:iCs/>
                <w:sz w:val="26"/>
                <w:szCs w:val="26"/>
                <w:lang w:val="vi-VN"/>
              </w:rPr>
              <w:t>…, ngày … tháng … năm …</w:t>
            </w:r>
          </w:p>
        </w:tc>
      </w:tr>
      <w:tr w:rsidR="00455165" w:rsidRPr="00455165" w:rsidTr="0045516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after="0"/>
              <w:jc w:val="center"/>
              <w:rPr>
                <w:rFonts w:ascii="Times New Roman" w:hAnsi="Times New Roman" w:cs="Times New Roman"/>
                <w:sz w:val="26"/>
                <w:szCs w:val="26"/>
                <w:lang w:val="vi-VN"/>
              </w:rPr>
            </w:pP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D96FE9">
            <w:pPr>
              <w:spacing w:before="120" w:after="0"/>
              <w:jc w:val="right"/>
              <w:rPr>
                <w:rFonts w:ascii="Times New Roman" w:hAnsi="Times New Roman" w:cs="Times New Roman"/>
                <w:i/>
                <w:iCs/>
                <w:sz w:val="26"/>
                <w:szCs w:val="26"/>
                <w:lang w:val="vi-VN"/>
              </w:rPr>
            </w:pPr>
          </w:p>
        </w:tc>
      </w:tr>
    </w:tbl>
    <w:p w:rsidR="005A087E" w:rsidRPr="005A087E" w:rsidRDefault="005A087E" w:rsidP="005A087E">
      <w:pPr>
        <w:shd w:val="clear" w:color="auto" w:fill="FFFFFF"/>
        <w:spacing w:after="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I. Hướng dẫn điểm số, cách tính điểm các tiêu chí, chỉ tiêu; tài liệu đánh giá các tiêu chí, chỉ tiêu</w:t>
      </w:r>
      <w:bookmarkEnd w:id="0"/>
    </w:p>
    <w:tbl>
      <w:tblPr>
        <w:tblW w:w="5110" w:type="pct"/>
        <w:tblCellSpacing w:w="0" w:type="dxa"/>
        <w:shd w:val="clear" w:color="auto" w:fill="FFFFFF"/>
        <w:tblCellMar>
          <w:left w:w="0" w:type="dxa"/>
          <w:right w:w="0" w:type="dxa"/>
        </w:tblCellMar>
        <w:tblLook w:val="04A0" w:firstRow="1" w:lastRow="0" w:firstColumn="1" w:lastColumn="0" w:noHBand="0" w:noVBand="1"/>
      </w:tblPr>
      <w:tblGrid>
        <w:gridCol w:w="978"/>
        <w:gridCol w:w="3072"/>
        <w:gridCol w:w="769"/>
        <w:gridCol w:w="1552"/>
        <w:gridCol w:w="2833"/>
      </w:tblGrid>
      <w:tr w:rsidR="005A087E" w:rsidRPr="005A087E" w:rsidTr="005A087E">
        <w:trPr>
          <w:tblCellSpacing w:w="0" w:type="dxa"/>
        </w:trPr>
        <w:tc>
          <w:tcPr>
            <w:tcW w:w="53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chỉ tiêu</w:t>
            </w:r>
          </w:p>
        </w:tc>
        <w:tc>
          <w:tcPr>
            <w:tcW w:w="1669" w:type="pct"/>
            <w:tcBorders>
              <w:top w:val="single" w:sz="8" w:space="0" w:color="000000"/>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Nội dung, cách tính điểm</w:t>
            </w:r>
          </w:p>
        </w:tc>
        <w:tc>
          <w:tcPr>
            <w:tcW w:w="418" w:type="pct"/>
            <w:tcBorders>
              <w:top w:val="single" w:sz="8" w:space="0" w:color="000000"/>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Điểm số tối đa</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jc w:val="center"/>
              <w:rPr>
                <w:rFonts w:ascii="Arial" w:eastAsia="Times New Roman" w:hAnsi="Arial" w:cs="Arial"/>
                <w:b/>
                <w:bCs/>
                <w:color w:val="000000"/>
                <w:sz w:val="18"/>
                <w:szCs w:val="18"/>
                <w:lang w:eastAsia="en-GB"/>
              </w:rPr>
            </w:pPr>
            <w:r w:rsidRPr="005A087E">
              <w:rPr>
                <w:rFonts w:ascii="Arial" w:eastAsia="Times New Roman" w:hAnsi="Arial" w:cs="Arial"/>
                <w:b/>
                <w:bCs/>
                <w:color w:val="000000"/>
                <w:sz w:val="18"/>
                <w:szCs w:val="18"/>
                <w:lang w:eastAsia="en-GB"/>
              </w:rPr>
              <w:t>Điểm tự chấm</w:t>
            </w:r>
          </w:p>
        </w:tc>
        <w:tc>
          <w:tcPr>
            <w:tcW w:w="1539" w:type="pct"/>
            <w:tcBorders>
              <w:top w:val="single" w:sz="8" w:space="0" w:color="000000"/>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Tài liệu đánh giá </w:t>
            </w:r>
            <w:r w:rsidRPr="005A087E">
              <w:rPr>
                <w:rFonts w:ascii="Arial" w:eastAsia="Times New Roman" w:hAnsi="Arial" w:cs="Arial"/>
                <w:color w:val="000000"/>
                <w:sz w:val="18"/>
                <w:szCs w:val="18"/>
                <w:lang w:val="vi-VN" w:eastAsia="en-GB"/>
              </w:rPr>
              <w:t>(1)</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văn bản theo thẩm quyền để tổ chức và bảo đảm thi hành Hiến pháp và pháp luật trên địa bàn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đầy đủ, đúng quy định pháp luật các văn bản quy phạm pháp luật được cơ quan có thẩm quyền giao</w:t>
            </w:r>
            <w:r w:rsidRPr="005A087E">
              <w:rPr>
                <w:rFonts w:ascii="Arial" w:eastAsia="Times New Roman" w:hAnsi="Arial" w:cs="Arial"/>
                <w:color w:val="000000"/>
                <w:sz w:val="18"/>
                <w:szCs w:val="18"/>
                <w:lang w:val="vi-VN" w:eastAsia="en-GB"/>
              </w:rPr>
              <w:t> </w:t>
            </w:r>
            <w:r w:rsidRPr="005A087E">
              <w:rPr>
                <w:rFonts w:ascii="Arial" w:eastAsia="Times New Roman" w:hAnsi="Arial" w:cs="Arial"/>
                <w:i/>
                <w:iCs/>
                <w:color w:val="000000"/>
                <w:sz w:val="18"/>
                <w:szCs w:val="18"/>
                <w:lang w:val="vi-VN" w:eastAsia="en-GB"/>
              </w:rPr>
              <w:t>(Trong năm đánh giá không có nhiệm vụ được giao ban hành văn bản quy phạm pháp luật được tính 03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đầy đủ các văn bản quy phạm pháp luật được giao trong năm đánh giá</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của cơ quan có thẩm quyền về việc đình chỉ thi hành, bãi bỏ Nghị quyết của Hội đồng nhân dân cấp xã hoặc Quyết định của Ủy ban nhân dân cấp xã (nếu có).</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đầy đủ các văn bản quy phạm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ban hành từ 01 (một) văn bản quy phạm pháp luật trở lên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Ban hành đúng quy định pháp luật các văn bản quy phạm pháp luật được giao trong năm đánh giá</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đúng quy định pháp luật các văn bản quy phạm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từ 01 (một) văn bản quy phạm pháp luật trở lên trái pháp luật và bị cơ quan có thẩm quyền xử lý</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đúng quy định pháp luật các văn bản hành chính có nội dung liên quan trực tiếp đến quyền, lợi ích của tổ chức, cá nhân</w:t>
            </w:r>
            <w:r w:rsidRPr="005A087E">
              <w:rPr>
                <w:rFonts w:ascii="Arial" w:eastAsia="Times New Roman" w:hAnsi="Arial" w:cs="Arial"/>
                <w:color w:val="000000"/>
                <w:sz w:val="18"/>
                <w:szCs w:val="18"/>
                <w:lang w:val="vi-VN" w:eastAsia="en-GB"/>
              </w:rPr>
              <w:t> (sau đây gọi chung là văn bản hành chính)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 xml:space="preserve">Tỷ lệ % = (Tổng số văn bản hành chính đã ban hành đúng thẩm quyền, thời hạn và không bị cơ quan có thẩm quyền xử lý do có nội dung trái pháp </w:t>
            </w:r>
            <w:r w:rsidRPr="005A087E">
              <w:rPr>
                <w:rFonts w:ascii="Arial" w:eastAsia="Times New Roman" w:hAnsi="Arial" w:cs="Arial"/>
                <w:i/>
                <w:iCs/>
                <w:color w:val="000000"/>
                <w:sz w:val="18"/>
                <w:szCs w:val="18"/>
                <w:lang w:val="vi-VN" w:eastAsia="en-GB"/>
              </w:rPr>
              <w:lastRenderedPageBreak/>
              <w:t>luật/Tổng số văn bản hành chính đã ban hành trong năm đánh giá)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Các văn bản hành chính do chính quyền cấp xã ban hành trong năm đánh giá, kèm theo các văn bản của cơ quan nhà nước có thẩm quyền giao ban hành văn bản hành chính cho chính quyền cấp xã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xml:space="preserve">- Văn bản của cơ quan có thẩm quyền về việc đình chỉ thi hành, bãi bỏ văn bản hành chính; đơn khiếu </w:t>
            </w:r>
            <w:r w:rsidRPr="005A087E">
              <w:rPr>
                <w:rFonts w:ascii="Arial" w:eastAsia="Times New Roman" w:hAnsi="Arial" w:cs="Arial"/>
                <w:color w:val="000000"/>
                <w:sz w:val="18"/>
                <w:szCs w:val="18"/>
                <w:lang w:val="vi-VN" w:eastAsia="en-GB"/>
              </w:rPr>
              <w:lastRenderedPageBreak/>
              <w:t>nại, khiếu kiện, kiến nghị, phản ánh của tổ chức, cá nhân (nếu có).</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cận thông tin, phổ biến, giáo dục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Công khai các thông tin kịp thời, chính xác, đầy đủ theo đúng quy định pháp luật về tiếp cận thông tin và thực hiện dân chủ ở xã, phường, thị trấn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6</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Đơn kiến nghị, phản ánh hoặc biên bản tổng hợp kiến nghị, phản ánh của tổ chức, cá nhân liên quan đến việc công khai thông tin theo yêu cầu của Hội đồng nhân dân, Ủy ban nhân dân cấp xã (nếu có).</w:t>
            </w:r>
            <w:bookmarkStart w:id="1" w:name="_GoBack"/>
            <w:bookmarkEnd w:id="1"/>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Lập Danh mục thông tin có đầy đủ các nội dung thông tin cần công khai và thường xuyên cập nhật Danh mục thông tin theo đúng quy định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Công khai thông tin đúng thời hạn, thời điểm</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công khai đúng thời hạn, thời điểm/Tổng số thông tin phải được công khai)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Công khai thông tin chính xác, đầy đủ</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công khai chính xác, đầy đủ/Tổng số thông tin phải được công khai)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 Hình thức công khai thông tin đúng quy định pháp luật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công khai đúng hình thức theo quy định pháp luật/Tổng số thông tin phải được công khai)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Cung cấp thông tin theo yêu cầu kịp thời, chính xác, đầy đủ theo đúng quy định pháp luật về tiếp cận thông tin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lastRenderedPageBreak/>
              <w:t>(Trong năm đánh giá không có yêu cầu cung cấp thông tin được tính 05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lastRenderedPageBreak/>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xml:space="preserve">- Sổ theo dõi cung cấp thông tin theo yêu cầu của Hội đồng nhân dân, Ủy ban nhân dân cấp xã, kèm </w:t>
            </w:r>
            <w:r w:rsidRPr="005A087E">
              <w:rPr>
                <w:rFonts w:ascii="Arial" w:eastAsia="Times New Roman" w:hAnsi="Arial" w:cs="Arial"/>
                <w:color w:val="000000"/>
                <w:sz w:val="18"/>
                <w:szCs w:val="18"/>
                <w:lang w:val="vi-VN" w:eastAsia="en-GB"/>
              </w:rPr>
              <w:lastRenderedPageBreak/>
              <w:t>theo Phiếu yêu cầu cung cấp thông tin.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Đơn kiến nghị, phản ánh hoặc biên bản tổng hợp kiến nghị, phản ánh của tổ chức, cá nhân liên quan đến việc cung cấp thông tin theo yêu cầu của Hội đồng nhân dân, Ủy ban nhân dân cấp xã (nếu có).</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Cung cấp thông tin theo yêu cầu đúng thời hạn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cung cấp đúng thời hạn/Tổng số thông tin có yêu cầu đủ điều kiện cung cấp)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thông tin theo yêu cầu chính xác, đầy đủ</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cung cấp chính xác, đầy đủ/Tổng số thông tin có yêu cầu đủ điều kiện cung cấp)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Hình thức cung cấp thông tin đúng quy định pháp luật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thông tin đã cung cấp đúng hình thức theo quy định pháp luật/Tổng số thông tin có yêu cầu đủ điều kiện cung cấp)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và tổ chức thực hiện kế hoạch phổ biến, giáo dục pháp luật hàng năm theo đúng quy định pháp luật về phổ biến, giáo dục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8</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Kế hoạch phổ biến, giáo dục pháp luật đáp ứng yêu cầu về nội dung theo chỉ đạo, hướng dẫn của cơ quan cấp trên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phổ biến, giáo dục pháp luật năm đã được lãnh đạo Ủy ban nhân dân cấp xã ban hành.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văn bản của cơ quan cấp trên chỉ đạo, hướng dẫn về nội dung, thời hạn ban hành Kế hoạch phổ biến, giáo dục pháp luật của Ủy ban nhân dân cấp xã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Ủy ban nhân dân cấp xã về kết quả thực hiện Kế hoạch phổ biến, giáo dục pháp luật và các văn bản, tài liệu triển khai các nhiệm vụ, hoạt động của Kế hoạch: Giấy mời tổ chức tập huấn, phổ biến văn bản pháp luật, các tài liệu phổ biến, giáo dục pháp luật được cấp phát (văn bản pháp luật, tờ gấp, tài liệu hỏi - đáp), các tin, bài, lịch phát sóng trên Đài truyền thanh cấp xã, đường link về nội dung liên quan trên Cổng hoặc Trang thông tin điện tử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giao nhiệm vụ của cơ quan cấp trên.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Tài liệu khác chứng minh kết quả thực hiện các nhiệm vụ (nếu có).</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Kế hoạch trong 05 (năm) ngày kể từ ngày Ủy ban nhân dân cấp huyện ban hành Kế hoạch phổ biến, giáo dục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Kế hoạch sau 05 (năm) ngày kể từ ngày Ủy ban nhân dân cấp huyện ban hành Kế hoạch phổ biến, giáo dục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ban hành Kế hoạch hoặc có ban hành Kế hoạch nhưng không đáp ứng yêu cầu về nội dung theo chỉ đạo, hướng dẫn của cơ quan cấp trên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Triển khai các nhiệm vụ theo Kế hoạch (trừ nội dung của chỉ tiêu 5 của tiêu chí này):</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nhiệm vụ, hoạt động đã triển khai và hoàn thành trên thực tế/Tổng số nhiệm vụ, hoạt động đề ra trong Kế hoạch)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Triển khai các nhiệm vụ phát sinh ngoài Kế hoạch theo chỉ đạo, hướng dẫn của cơ quan cấp trên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lastRenderedPageBreak/>
              <w:t>Tỷ lệ % = (Tổng số nhiệm vụ, hoạt động đã triển khai và hoàn thành trên thực tế/Tổng số nhiệm vụ, hoạt động phát sinh ngoài Kế hoạch theo chỉ đạo, hướng dẫn của cơ quan cấp trên) x 100</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(Trong năm đánh giá không phát sinh nhiệm vụ ngoài Kế hoạch theo chỉ đạo, hướng dẫn của cơ quan cấp trên được tính 02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Triển khai các hình thức, mô hình thông tin, phổ biến, giáo dục pháp luật hiệu quả tại cơ sở</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Bản tổng hợp kết quả đánh giá hình thức, mô hình thông tin, phổ biến, giáo dục pháp luật hiệu quả tại cơ sở.</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từ 02 (hai) hình thức, mô hình thông tin, phổ biến, giáo dục pháp luật hiệu quả trở lên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01 (một) hình thức, mô hình thông tin, phổ biến, giáo dục pháp luật hiệu quả</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có hình thức, mô hình thông tin, phổ biến, giáo dục pháp luật hiệu quả</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bồi dưỡng, tập huấn kiến thức, kỹ năng phổ biến, giáo dục pháp luật cho tuyên truyền viên pháp luật theo đúng quy định pháp luật về phổ biến, giáo dục pháp luật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tuyên truyền viên pháp luật được tập huấn, bồi dưỡng/Tổng số tuyên truyền viên pháp luật của cấp xã)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tổ chức tập huấn, giấy mời hoặc thông báo tham dự tập huấn.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Tài liệu bồi dưỡng, tập huấn.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Danh sách tuyên truyền viên pháp luật xác nhận tham dự.</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kết quả (độc lập hoặc lồng ghép) về việc tổ chức bồi dưỡng, tập huấn.</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6</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Bảo đảm kinh phí, cơ sở vật chất, phương tiện để thực hiện nhiệm vụ phổ biến, giáo dục pháp luật theo đúng quy định pháp luật về phổ biến, giáo dục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của cơ quan có thẩm quyền có nội dung phân bổ, bố trí kinh phí phổ biến, giáo dục pháp luật.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Dự toán kinh phí chi cho công tác phổ biến, giáo dục pháp luật được Ủy ban nhân dân cấp xã phê duyệt.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Số kinh phí được bố trí đã bảo đảm thực hiện 100%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Số kinh phí được bố trí đã bảo đảm thực hiện từ 90% đến dưới 100%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Số kinh phí được bố trí đã bảo đảm thực hiện từ 80% đến dưới 90%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Số kinh phí được bố trí đã bảo đảm thực hiện từ 70% đến dưới 80%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Số kinh phí được bố trí đã bảo đảm thực hiện từ 50% đến dưới 70%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Số kinh phí được bố trí đã bảo đảm thực hiện dưới 50% số nhiệm vụ quy định tại mục 2 chỉ tiêu 3 của tiêu chí này</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3</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Hòa giải ở cơ sở, trợ giúp pháp lý</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Các mâu thuẫn, tranh chấp, vi phạm pháp luật thuộc phạm vi hòa giải ở cơ sở được hòa giải kịp thời, hiệu quả theo đúng quy định pháp luật về hòa giải ở cơ sở</w:t>
            </w:r>
            <w:r w:rsidRPr="005A087E">
              <w:rPr>
                <w:rFonts w:ascii="Arial" w:eastAsia="Times New Roman" w:hAnsi="Arial" w:cs="Arial"/>
                <w:color w:val="000000"/>
                <w:sz w:val="18"/>
                <w:szCs w:val="18"/>
                <w:lang w:val="vi-VN" w:eastAsia="en-GB"/>
              </w:rPr>
              <w:t> (sau đây gọi chung là vụ, việc hòa giải)</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(Trong năm đánh giá không phát sinh vụ, việc hòa giải được tính 07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Sổ theo dõi hoạt động hòa giải ở cơ sở.</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hòa giải thành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Ủy ban nhân dân cấp xã về kết quả hoạt động hòa giải ở cơ sở.</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Tổ trưởng Tổ hòa giải về tổ chức và hoạt động của tổ hòa giải.</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vụ, việc hòa giải được tiếp nhận, giải quyết theo đúng quy định pháp luật về hòa giải ở cơ sở</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lastRenderedPageBreak/>
              <w:t>Tỷ lệ % = (Tổng số vụ, việc đã hòa giải đúng quy định/Tổng số vụ, việc đã tiếp nhận)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3,5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Các vụ, việc hòa giải thành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vụ, việc hòa giải thành/Tổng số vụ, việc được thực hiện hòa giải)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Hỗ trợ kinh phí cho hoạt động hòa giải ở cơ sở theo đúng quy định pháp luật về hòa giải ở cơ sở</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Có văn bản và dự toán kinh phí hỗ trợ hoạt động hòa giải gửi cơ quan có thẩm quyền cấp trên theo thời hạn quy định</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Văn bản của Ủy ban nhân dân cấp xã kèm theo Dự toán kinh phí hỗ trợ hoạt động hòa giải gửi cơ quan có thẩm quyền.</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Tổ hòa giải được hỗ trợ kinh phí đúng mức chi theo quy định của cơ quan có thẩm quyền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tổ hòa giải được hỗ trợ kinh phí đúng mức chi theo quy định/Tổng số tổ hòa giải trên địa bàn)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Hồ sơ, tài liệu thực hiện chi kinh phí hỗ trợ tổ hòa giải, hòa giải viên.</w:t>
            </w:r>
          </w:p>
          <w:p w:rsidR="005A087E" w:rsidRPr="005A087E" w:rsidRDefault="005A087E" w:rsidP="005A087E">
            <w:pPr>
              <w:spacing w:after="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Danh sách tổ hòa giải, hòa giải viên xác nhận được hỗ trợ kinh phí theo quy định tại Thông tư liên tịch số </w:t>
            </w:r>
            <w:hyperlink r:id="rId4" w:tgtFrame="_blank" w:tooltip="Thông tư liên tịch 100/2014/TTLT-BTC-BTP" w:history="1">
              <w:r w:rsidRPr="005A087E">
                <w:rPr>
                  <w:rFonts w:ascii="Arial" w:eastAsia="Times New Roman" w:hAnsi="Arial" w:cs="Arial"/>
                  <w:color w:val="0E70C3"/>
                  <w:sz w:val="18"/>
                  <w:szCs w:val="18"/>
                  <w:lang w:val="vi-VN" w:eastAsia="en-GB"/>
                </w:rPr>
                <w:t>100/2014/TTLT-BTC-BTP</w:t>
              </w:r>
            </w:hyperlink>
            <w:r w:rsidRPr="005A087E">
              <w:rPr>
                <w:rFonts w:ascii="Arial" w:eastAsia="Times New Roman" w:hAnsi="Arial" w:cs="Arial"/>
                <w:color w:val="000000"/>
                <w:sz w:val="18"/>
                <w:szCs w:val="18"/>
                <w:lang w:val="vi-VN" w:eastAsia="en-GB"/>
              </w:rPr>
              <w:t> hoặc Nghị quyết của Hội đồng nhân dân cấp tỉnh, Quyết định của Ủy ban nhân dân cấp tỉnh.</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Hỗ trợ thù lao hòa giải viên theo vụ, việc đúng mức chi theo quy định của cơ quan có thẩm quyền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vụ, việc hòa giải đã giải quyết được hỗ trợ thù lao cho hòa giải viên đúng mức chi theo quy định/Tổng số vụ, việc hòa giải đã giải quyết)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Thông tin, giới thiệu về trợ giúp pháp lý theo đúng quy định pháp luật về trợ giúp pháp lý</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Danh sách thống kê người thuộc diện trợ giúp pháp lý theo quy định tại Điều 7 Luật Trợ giúp pháp lý là người bị buộc tội, bị hại, đương sự trong các vụ việc tham gia tố tụng mà Ủy ban nhân dân cấp xã có được thông tin theo quy định và người thuộc diện trợ giúp pháp lý là người bị buộc tội, bị hại, đương sự trong các vụ việc tham gia tố tụng đã được thông tin, giới thiệu đến Trung tâm để thực hiện quyền được trợ giúp pháp lý.</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4</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Thực hiện dân chủ ở xã, phường, thị trấn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trao đổi, đối thoại với Nhân dân theo đúng quy định pháp luật về tổ chức chính quyền địa phương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của Ủy ban nhân dân cấp xã về tổ chức hội nghị trao đổi, đối thoại với Nhân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hoặc biên bản về kết quả tổ chức hội nghị trao đổi, đối thoại với Nhân dân; hồ sơ, tài liệu phục vụ tổ chức hội nghị.</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hội nghị trao đổi, đối thoại với Nhân dân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tổ chức hội nghị</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tổ chức hội nghị</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Thông báo về thời gian, địa điểm, nội dung của hội nghị theo đúng quy định pháp luật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Thông báo đúng thời hạn, đúng hình thức</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thông báo hoặc có thông báo nhưng không đúng thời hạn hoặc không đúng hình thức</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bàn, quyết định trực tiếp các nội dung theo đúng quy định pháp luật về thực hiện dân chủ ở xã, phường, thị trấn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của Ủy ban nhân dân cấp xã về thực hiện những nội dung Nhân dân bàn, quyết định trực tiếp.</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Ủy ban nhân dân cấp xã về quá trình và kết quả thực hiện các nội dung Nhân dân bàn, quyết định trực tiếp.</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 xml:space="preserve">Tổ chức để Nhân dân bàn, biểu quyết các nội dung theo đúng quy </w:t>
            </w:r>
            <w:r w:rsidRPr="005A087E">
              <w:rPr>
                <w:rFonts w:ascii="Arial" w:eastAsia="Times New Roman" w:hAnsi="Arial" w:cs="Arial"/>
                <w:b/>
                <w:bCs/>
                <w:color w:val="000000"/>
                <w:sz w:val="18"/>
                <w:szCs w:val="18"/>
                <w:lang w:val="vi-VN" w:eastAsia="en-GB"/>
              </w:rPr>
              <w:lastRenderedPageBreak/>
              <w:t>định pháp luật về thực hiện dân chủ ở xã, phường, thị trấn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lastRenderedPageBreak/>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của Ủy ban nhân dân cấp xã về thực hiện những nội dung Nhân dân bàn, biểu quyết.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Ủy ban nhân dân cấp xã về quá trình và kết quả thực hiện các nội dung Nhân dân bàn, biểu quyết.</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tham gia ý kiến các nội dung theo đúng quy định pháp luật về thực hiện dân chủ ở xã, phường, thị trấn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của Ủy ban nhân dân cấp xã lấy ý kiến Nhân dân về những nội dung thuộc thẩm quyền quyết định.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của cơ quan cấp trên chỉ đạo, giao nhiệm vụ lấy ý kiến Nhân dân (nếu có).</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Bản tổng hợp, tiếp thu, giải trình ý kiến của Nhân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của Ủy ban nhân dân cấp xã về quá trình và kết quả thực hiện các nội dung lấy ý kiến Nhân dân.</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nội dung để Nhân dân giám sát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Kế hoạch giám sát.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Báo cáo hoạt động của Ban Thanh tra nhân dân, Ban giám sát đầu tư của cộng đồng.</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Các văn bản, tài liệu được Ủy ban nhân dân cấp xã cung cấp cho Ban Thanh tra nhân dân, Ban giám sát đầu tư của cộng đồng.</w:t>
            </w: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Tổ chức giám sát từ 04 (bốn) nội dung trở lên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Tổ chức giám sát 03 (ba) nội dung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Tổ chức giám sát 02 (hai) nội dung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Tổ chức giám sát 01 (một) nội dung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Không tổ chức giám sát</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đầy đủ, kịp thời các thông tin, tài liệu cần thiết cho Ban thanh tra nhân dân, Ban giám sát đầu tư của cộng đồng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5</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giải quyết kiến nghị, phản ánh, khiếu nại, tố cáo, thủ tục hành chính; bảo đảm an ninh quốc gia, trật tự, an toàn xã hội</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tiếp nhận, giải quyết kiến nghị, phản ánh, khiếu nại, tố cáo theo đúng quy định pháp luật về tiếp công dân, khiếu nại, tố cáo</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Hình ảnh về địa điểm tiếp công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Nội quy tiếp công dân, lịch tiếp công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Quyết định hoặc văn bản của Chủ tịch Ủy ban nhân dân cấp xã phân công cán bộ, công chức làm công tác tiếp công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Sổ tiếp công dân hoặc thông tin trên cơ sở dữ liệu quốc gia về tiếp công dân hoặc thông tin trên phần mềm quản lý tiếp công dân.</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Văn bản hướng dẫn, trả lời kiến nghị, phản ánh, khiếu nại, tố cáo hoặc Quyết định giải quyết khiếu nại, tố cáo.</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Báo cáo kết quả về tổ chức tiếp công dân, giải quyết kiến nghị, phản ánh, khiếu nại, tố cáo.</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tiếp công dân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nội quy tiếp công dân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Bố trí địa điểm, các điều kiện cần thiết, phân công người tiếp công dân; niêm yết công khai lịch tiếp công dân của Chủ tịch Ủy ban nhân dân cấp xã tại trụ sở</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Thực hiện đầy đủ, đúng trách nhiệm tiếp công dân tại trụ sở Ủy ban nhân dân cấp xã (ít nhất 01 ngày trong 01 tuần) và tiếp công dân đột xuất (nếu có)</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Phối hợp, xử lý kịp thời vụ việc nhiều người cùng khiếu nại, tố cáo, kiến nghị, phản ánh về một nội dung; bảo đảm an toàn, trật tự cho hoạt động tiếp công dân</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Tiếp nhận, giải quyết kiến nghị, phản ánh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kiến nghị, phản ánh được giải quyết đúng quy định pháp </w:t>
            </w:r>
            <w:r w:rsidRPr="005A087E">
              <w:rPr>
                <w:rFonts w:ascii="Arial" w:eastAsia="Times New Roman" w:hAnsi="Arial" w:cs="Arial"/>
                <w:i/>
                <w:iCs/>
                <w:color w:val="000000"/>
                <w:sz w:val="18"/>
                <w:szCs w:val="18"/>
                <w:lang w:eastAsia="en-GB"/>
              </w:rPr>
              <w:t>l</w:t>
            </w:r>
            <w:r w:rsidRPr="005A087E">
              <w:rPr>
                <w:rFonts w:ascii="Arial" w:eastAsia="Times New Roman" w:hAnsi="Arial" w:cs="Arial"/>
                <w:i/>
                <w:iCs/>
                <w:color w:val="000000"/>
                <w:sz w:val="18"/>
                <w:szCs w:val="18"/>
                <w:lang w:val="vi-VN" w:eastAsia="en-GB"/>
              </w:rPr>
              <w:t xml:space="preserve">uật/Tổng số kiến nghị, phản </w:t>
            </w:r>
            <w:r w:rsidRPr="005A087E">
              <w:rPr>
                <w:rFonts w:ascii="Arial" w:eastAsia="Times New Roman" w:hAnsi="Arial" w:cs="Arial"/>
                <w:i/>
                <w:iCs/>
                <w:color w:val="000000"/>
                <w:sz w:val="18"/>
                <w:szCs w:val="18"/>
                <w:lang w:val="vi-VN" w:eastAsia="en-GB"/>
              </w:rPr>
              <w:lastRenderedPageBreak/>
              <w:t>ánh đủ điều kiện giải quyết đã được tiếp nhận) x 100</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(Trong năm đánh giá không có kiến nghị, phản ánh được tính 02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Tiếp nhận, giải quyết khiếu nại, tố cáo</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(Tổng số khiếu nại, tố cáo được giải quyết đúng quy định pháp luật/Tổng số khiếu nại, tố cáo đủ điều kiện giải quyết đã được tiếp nhận) x 100</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(Trong năm đánh giá không có khiếu nại, tố cáo được tính 02 điểm)</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nhận, giải quyết thủ tục hành chính theo đúng quy định pháp luật về giải quyết thủ tục hành chính</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hồ sơ thủ tục hành chính được giải quyết đúng quy định pháp luật/Tổng số hồ sơ thủ tục hành chính đủ điều kiện giải quyết đã được tiếp nhận) x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Sổ theo dõi việc giải quyết thủ tục hành chính của Ủy ban nhân dân cấp xã hoặc số liệu được trích xuất từ hệ thống thông tin một cửa điện tử (đối với những xã, phường, thị trấn đã vận hành hệ thống thông tin một cửa điện tử).</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Không có cán bộ, công chức bị xử lý kỷ luật hành chính hoặc bị truy cứu trách nhiệm hình sự</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Quyết định kỷ luật hành chính cán bộ, công chức của cơ quan có thẩm quyền có hiệu lực pháp luật.</w:t>
            </w:r>
          </w:p>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Quyết định khởi tố bị can đối với cán bộ, công chức của cơ quan có thẩm quyền có hiệu lực pháp luật.</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Không có cán bộ, công chức bị xử lý kỷ luật hành chính hoặc bị truy cứu trách nhiệm hình sự</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cán bộ, công chức bị xử lý kỷ luật hành chính hoặc bị truy cứu trách nhiệm hình sự</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Đạt tiêu chuẩn “An toàn về an ninh, trật tự” theo đúng quy định pháp luật về an ninh quốc gia, trật tự, an toàn xã hội</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6</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vMerge w:val="restar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Văn bản của cơ quan có thẩm quyền công nhận xã, phường, thị trấn đạt tiêu chuẩn “An toàn về an ninh, trật tự”.</w:t>
            </w:r>
          </w:p>
        </w:tc>
      </w:tr>
      <w:tr w:rsidR="005A087E" w:rsidRPr="005A087E" w:rsidTr="005A087E">
        <w:trPr>
          <w:tblCellSpacing w:w="0" w:type="dxa"/>
        </w:trPr>
        <w:tc>
          <w:tcPr>
            <w:tcW w:w="53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tiêu chuẩn “An toàn về an ninh, trật tự”</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531" w:type="pct"/>
            <w:vMerge/>
            <w:tcBorders>
              <w:top w:val="nil"/>
              <w:left w:val="single" w:sz="8" w:space="0" w:color="000000"/>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c>
          <w:tcPr>
            <w:tcW w:w="166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đạt tiêu chuẩn “An toàn về an ninh, trật tự”</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after="0" w:line="240" w:lineRule="auto"/>
              <w:rPr>
                <w:rFonts w:ascii="Arial" w:eastAsia="Times New Roman" w:hAnsi="Arial" w:cs="Arial"/>
                <w:b/>
                <w:color w:val="000000"/>
                <w:sz w:val="18"/>
                <w:szCs w:val="18"/>
                <w:lang w:eastAsia="en-GB"/>
              </w:rPr>
            </w:pPr>
          </w:p>
        </w:tc>
        <w:tc>
          <w:tcPr>
            <w:tcW w:w="1539" w:type="pct"/>
            <w:vMerge/>
            <w:tcBorders>
              <w:top w:val="nil"/>
              <w:left w:val="nil"/>
              <w:bottom w:val="single" w:sz="8" w:space="0" w:color="000000"/>
              <w:right w:val="single" w:sz="8" w:space="0" w:color="000000"/>
            </w:tcBorders>
            <w:shd w:val="clear" w:color="auto" w:fill="FFFFFF"/>
            <w:vAlign w:val="center"/>
            <w:hideMark/>
          </w:tcPr>
          <w:p w:rsidR="005A087E" w:rsidRPr="005A087E" w:rsidRDefault="005A087E" w:rsidP="005A087E">
            <w:pPr>
              <w:spacing w:after="0" w:line="240" w:lineRule="auto"/>
              <w:rPr>
                <w:rFonts w:ascii="Arial" w:eastAsia="Times New Roman" w:hAnsi="Arial" w:cs="Arial"/>
                <w:color w:val="000000"/>
                <w:sz w:val="18"/>
                <w:szCs w:val="18"/>
                <w:lang w:eastAsia="en-GB"/>
              </w:rPr>
            </w:pPr>
          </w:p>
        </w:tc>
      </w:tr>
      <w:tr w:rsidR="005A087E" w:rsidRPr="005A087E" w:rsidTr="005A087E">
        <w:trPr>
          <w:tblCellSpacing w:w="0" w:type="dxa"/>
        </w:trPr>
        <w:tc>
          <w:tcPr>
            <w:tcW w:w="2200" w:type="pct"/>
            <w:gridSpan w:val="2"/>
            <w:tcBorders>
              <w:top w:val="nil"/>
              <w:left w:val="single" w:sz="8" w:space="0" w:color="000000"/>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TỔNG CỘNG:</w:t>
            </w:r>
          </w:p>
        </w:tc>
        <w:tc>
          <w:tcPr>
            <w:tcW w:w="418"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100</w:t>
            </w:r>
          </w:p>
        </w:tc>
        <w:tc>
          <w:tcPr>
            <w:tcW w:w="843" w:type="pct"/>
            <w:tcBorders>
              <w:top w:val="single" w:sz="4" w:space="0" w:color="auto"/>
              <w:left w:val="single" w:sz="4" w:space="0" w:color="auto"/>
              <w:bottom w:val="single" w:sz="4" w:space="0" w:color="auto"/>
              <w:right w:val="single" w:sz="4" w:space="0" w:color="auto"/>
            </w:tcBorders>
          </w:tcPr>
          <w:p w:rsidR="005A087E" w:rsidRPr="005A087E" w:rsidRDefault="005A087E" w:rsidP="005A087E">
            <w:pPr>
              <w:spacing w:before="120" w:after="120" w:line="234" w:lineRule="atLeast"/>
              <w:rPr>
                <w:rFonts w:ascii="Arial" w:eastAsia="Times New Roman" w:hAnsi="Arial" w:cs="Arial"/>
                <w:b/>
                <w:color w:val="000000"/>
                <w:sz w:val="18"/>
                <w:szCs w:val="18"/>
                <w:lang w:val="vi-VN" w:eastAsia="en-GB"/>
              </w:rPr>
            </w:pPr>
          </w:p>
        </w:tc>
        <w:tc>
          <w:tcPr>
            <w:tcW w:w="1539" w:type="pct"/>
            <w:tcBorders>
              <w:top w:val="nil"/>
              <w:left w:val="nil"/>
              <w:bottom w:val="single" w:sz="8" w:space="0" w:color="000000"/>
              <w:right w:val="single" w:sz="8" w:space="0" w:color="000000"/>
            </w:tcBorders>
            <w:shd w:val="clear" w:color="auto" w:fill="auto"/>
            <w:vAlign w:val="center"/>
            <w:hideMark/>
          </w:tcPr>
          <w:p w:rsidR="005A087E" w:rsidRPr="005A087E" w:rsidRDefault="005A087E"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r>
    </w:tbl>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i/>
          <w:iCs/>
          <w:color w:val="000000"/>
          <w:sz w:val="18"/>
          <w:szCs w:val="18"/>
          <w:lang w:val="vi-VN" w:eastAsia="en-GB"/>
        </w:rPr>
        <w:t>Ghi chú:</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Tài liệu đánh giá tại Phụ lục I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Các Kế hoạch do Ủy ban nhân dân cấp xã ban hành để triển khai các hoạt động tại chỉ tiêu 2, chỉ tiêu 3 và chỉ tiêu 4 của tiêu chí 4 Phụ lục I được thực hiện theo quy định của pháp luật về dân chủ ở xã, phường, thị trấn.</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Trong trường hợp Ủy ban nhân dân cấp xã ban hành 01 (một) Kế hoạch chung để triển khai các nội dung trên thì vẫn được coi là tài liệu đánh giá, chấm điểm các chỉ tiêu 2, chỉ tiêu 3 và chỉ tiêu 4 của tiêu chí 4.</w:t>
      </w:r>
    </w:p>
    <w:p w:rsidR="005A087E" w:rsidRPr="005A087E" w:rsidRDefault="005A087E" w:rsidP="005A087E">
      <w:pPr>
        <w:shd w:val="clear" w:color="auto" w:fill="FFFFFF"/>
        <w:spacing w:after="0" w:line="234" w:lineRule="atLeast"/>
        <w:rPr>
          <w:rFonts w:ascii="Arial" w:eastAsia="Times New Roman" w:hAnsi="Arial" w:cs="Arial"/>
          <w:color w:val="000000"/>
          <w:sz w:val="18"/>
          <w:szCs w:val="18"/>
          <w:lang w:eastAsia="en-GB"/>
        </w:rPr>
      </w:pPr>
      <w:bookmarkStart w:id="2" w:name="muc_2"/>
      <w:r w:rsidRPr="005A087E">
        <w:rPr>
          <w:rFonts w:ascii="Arial" w:eastAsia="Times New Roman" w:hAnsi="Arial" w:cs="Arial"/>
          <w:b/>
          <w:bCs/>
          <w:color w:val="000000"/>
          <w:sz w:val="18"/>
          <w:szCs w:val="18"/>
          <w:lang w:val="vi-VN" w:eastAsia="en-GB"/>
        </w:rPr>
        <w:t>II. Hướng dẫn nội dung chỉ tiêu 2, tiêu chí 1; chỉ tiêu 4, tiêu chí 2</w:t>
      </w:r>
      <w:bookmarkEnd w:id="2"/>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 Chỉ tiêu 2, tiêu chí 1</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Văn bản hành chính có nội dung liên quan trực tiếp đến quyền, lợi ích của tổ chức, cá nhân do chính quyền cấp xã ban hành được quy định tại Thông tư này bao gồm:</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 Chỉ tiêu 4, tiêu chí 2</w:t>
      </w:r>
    </w:p>
    <w:p w:rsidR="005A087E" w:rsidRPr="005A087E" w:rsidRDefault="005A087E" w:rsidP="005A087E">
      <w:pPr>
        <w:shd w:val="clear" w:color="auto" w:fill="FFFFFF"/>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Hình thức, mô hình thông tin, phổ biến, giáo dục pháp luật 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DA320A" w:rsidRDefault="00DA320A"/>
    <w:sectPr w:rsidR="00DA320A" w:rsidSect="005A087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7E"/>
    <w:rsid w:val="00254201"/>
    <w:rsid w:val="003C3C9D"/>
    <w:rsid w:val="00455165"/>
    <w:rsid w:val="005A087E"/>
    <w:rsid w:val="005A32CD"/>
    <w:rsid w:val="00681B2D"/>
    <w:rsid w:val="009828F3"/>
    <w:rsid w:val="00DA320A"/>
    <w:rsid w:val="00F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B572-059C-44EC-A6B7-A97DE80B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A087E"/>
    <w:rPr>
      <w:color w:val="0000FF"/>
      <w:u w:val="single"/>
    </w:rPr>
  </w:style>
  <w:style w:type="character" w:styleId="FollowedHyperlink">
    <w:name w:val="FollowedHyperlink"/>
    <w:basedOn w:val="DefaultParagraphFont"/>
    <w:uiPriority w:val="99"/>
    <w:semiHidden/>
    <w:unhideWhenUsed/>
    <w:rsid w:val="005A08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thong-tu-lien-tich-100-2014-ttlt-btc-btp-du-toan-quan-ly-quyet-toan-kinh-phi-hoa-giai-o-co-so-2465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2023-11-28T08:56:00Z</dcterms:created>
  <dcterms:modified xsi:type="dcterms:W3CDTF">2023-11-28T08:56:00Z</dcterms:modified>
</cp:coreProperties>
</file>